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Restrictions on certain subcontractors</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 employs unfit persons.</w:t>
      </w:r>
    </w:p>
    <w:p w:rsidR="00000000" w:rsidDel="00000000" w:rsidP="00000000" w:rsidRDefault="00000000" w:rsidRPr="00000000" w14:paraId="00000009">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Subcontractor’s name, registered office and company registration number;</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scope/description of any Deliverables to be provided by the proposed Key Subcontractor; </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bookmarkStart w:colFirst="0" w:colLast="0" w:name="_heading=h.3dy6vkm" w:id="3"/>
      <w:bookmarkEnd w:id="3"/>
      <w:r w:rsidDel="00000000" w:rsidR="00000000" w:rsidRPr="00000000">
        <w:rPr>
          <w:rFonts w:ascii="Arial" w:cs="Arial" w:eastAsia="Arial" w:hAnsi="Arial"/>
          <w:color w:val="000000"/>
          <w:sz w:val="24"/>
          <w:szCs w:val="24"/>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copy of the proposed Key Sub-Contract; and </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further information reasonably requested by CCS and/or the Buyer.</w:t>
      </w:r>
    </w:p>
    <w:p w:rsidR="00000000" w:rsidDel="00000000" w:rsidP="00000000" w:rsidRDefault="00000000" w:rsidRPr="00000000" w14:paraId="00000013">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provisions which will enable the Supplier to discharge its obligations under the Contracts;</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provision enabling CCS and the Buyer to enforce the Key Sub-Contract as if it were the Supplier; </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requirements set out in Clause 14 (Data protection);</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FOIA and other access request requirements set out in Clause 16 (When you can share information);</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obligation not to embarrass CCS or the Buyer or otherwise bring CCS or the Buyer into disrepute; </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audits set out in Clause 6 (Record keeping and reporting);</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color w:val="000000"/>
          <w:sz w:val="24"/>
          <w:szCs w:val="24"/>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985"/>
        </w:tabs>
        <w:spacing w:after="120" w:before="120" w:line="240" w:lineRule="auto"/>
        <w:ind w:left="1138" w:hanging="720"/>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RM6259</w:t>
      <w:tab/>
      <w:t xml:space="preserve">                                           </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bookmarkStart w:colFirst="0" w:colLast="0" w:name="_heading=h.tyjcwt" w:id="7"/>
    <w:bookmarkEnd w:id="7"/>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6"/>
    <w:bookmarkEnd w:id="6"/>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6 (Key Subcontractors)</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cs="Arial" w:eastAsia="Times New Roman"/>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cs="Arial" w:eastAsia="Times New Roma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2"/>
      </w:numPr>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cs="Arial" w:eastAsia="Times New Roman"/>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aWSkcYm1x+sLAguOJfkTpOhpA==">AMUW2mVz+zWMiubl2Dlad4Qrx9ZEItP4zNdBVWI1KW/sH5vYug6EbN2ibkMirz0qcW48WuqGPtV74ZvdCJ1cM2A0E1M0KrpyFEam3i+NCkuo9DiGNIrS9LiCvJP0vQ+g5kQ9fH7LggMzoxJG6Ugpvu3OBFCCulmH12BaQwcmIwluc3J5Xa5wzrPg9E7fcmui0uexhPXAFURNhx3vC0Abk/Qkv5S04cYx+zIteCcSfoA/VeqTtf3Ucug=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2022-08-01T09:22:00Z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